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5FFD9E62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912085">
        <w:rPr>
          <w:b/>
          <w:bCs/>
          <w:sz w:val="28"/>
          <w:szCs w:val="28"/>
        </w:rPr>
        <w:t>Хайрюзовский</w:t>
      </w:r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2E57C1D3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912085">
        <w:t>Хайрюзовский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912085">
        <w:t>МОХС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912085">
        <w:t>Хайрюзовский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912085">
        <w:t>МОХС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28EF2C74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912085">
        <w:t>МОХС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912085">
        <w:t>МОХС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78D45C4A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912085">
        <w:t>МОХС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50363C7F" w:rsidR="005B067C" w:rsidRPr="00176293" w:rsidRDefault="00BE3459" w:rsidP="005107D8">
      <w:pPr>
        <w:ind w:firstLine="567"/>
      </w:pPr>
      <w:r w:rsidRPr="00176293">
        <w:t xml:space="preserve">НГП </w:t>
      </w:r>
      <w:r w:rsidR="00912085">
        <w:t>МОХС</w:t>
      </w:r>
      <w:r w:rsidR="00EC2058" w:rsidRPr="00176293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2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8205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8205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8205A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8205A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5A37A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7D9798C0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912085">
        <w:t>МОХС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1CB7A15B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912085">
        <w:rPr>
          <w:color w:val="auto"/>
        </w:rPr>
        <w:t>МОХС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56ECBB10"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от </w:t>
      </w:r>
      <w:r w:rsidR="00912085">
        <w:t>21</w:t>
      </w:r>
      <w:r w:rsidR="00A47CBF" w:rsidRPr="00176293">
        <w:rPr>
          <w:shd w:val="clear" w:color="auto" w:fill="FFFFFF"/>
        </w:rPr>
        <w:t>.0</w:t>
      </w:r>
      <w:r w:rsidR="00912085">
        <w:rPr>
          <w:shd w:val="clear" w:color="auto" w:fill="FFFFFF"/>
        </w:rPr>
        <w:t>1</w:t>
      </w:r>
      <w:r w:rsidR="00A47CBF" w:rsidRPr="00176293">
        <w:rPr>
          <w:shd w:val="clear" w:color="auto" w:fill="FFFFFF"/>
        </w:rPr>
        <w:t>.201</w:t>
      </w:r>
      <w:r w:rsidR="00912085">
        <w:rPr>
          <w:shd w:val="clear" w:color="auto" w:fill="FFFFFF"/>
        </w:rPr>
        <w:t>3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1D2AD7" w:rsidRPr="00176293">
        <w:rPr>
          <w:shd w:val="clear" w:color="auto" w:fill="FFFFFF"/>
        </w:rPr>
        <w:t>3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912085">
        <w:rPr>
          <w:shd w:val="clear" w:color="auto" w:fill="FFFFFF"/>
        </w:rPr>
        <w:t>Хайрюзовского</w:t>
      </w:r>
      <w:r w:rsidR="001D2AD7" w:rsidRPr="00176293">
        <w:rPr>
          <w:shd w:val="clear" w:color="auto" w:fill="FFFFFF"/>
        </w:rPr>
        <w:t xml:space="preserve"> сельсовета</w:t>
      </w:r>
      <w:r w:rsidR="00C675AE" w:rsidRPr="00176293">
        <w:t>» и в настоящих нормативах приведена как справочная.</w:t>
      </w:r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7ABBDBE9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912085">
        <w:t>МОХС</w:t>
      </w:r>
      <w:r w:rsidR="00C55602" w:rsidRPr="00176293">
        <w:t xml:space="preserve">, утвержденными решением </w:t>
      </w:r>
      <w:r w:rsidR="00912085">
        <w:t>Хайрюзовского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5E4F5FB1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912085">
        <w:t>МОХС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3ABAEB27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912085">
        <w:t>МОХС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912085">
        <w:t>Хайрюзовский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423D190C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912085">
        <w:t>МОХС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6FCE7377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912085">
        <w:t>МОХС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912085">
        <w:t>МОХС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07619D5B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5E28E3BD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1302F802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912085">
        <w:t>МОХС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03CCEDF9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912085">
        <w:t>МОХС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253DF12A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912085">
        <w:rPr>
          <w:b/>
        </w:rPr>
        <w:t>Хайрюзовский</w:t>
      </w:r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265BA7BE" w14:textId="77777777" w:rsidR="00912085" w:rsidRDefault="0003045F" w:rsidP="00EE3F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6293">
        <w:t xml:space="preserve">2.2.1. </w:t>
      </w:r>
      <w:r w:rsidR="00D7443D" w:rsidRPr="00176293">
        <w:t xml:space="preserve">Статус и границы </w:t>
      </w:r>
      <w:r w:rsidR="00912085">
        <w:t>МОХС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proofErr w:type="gramStart"/>
      <w:r w:rsidR="00912085" w:rsidRPr="00B763C1">
        <w:rPr>
          <w:color w:val="000000"/>
          <w:szCs w:val="28"/>
        </w:rPr>
        <w:t xml:space="preserve">МО Хайрюзовский сельсовет находится в восточной части Троицкого района, на севере муниципальное образование (поселение) граничит с </w:t>
      </w:r>
      <w:proofErr w:type="spellStart"/>
      <w:r w:rsidR="00912085" w:rsidRPr="00B763C1">
        <w:rPr>
          <w:color w:val="000000"/>
          <w:szCs w:val="28"/>
        </w:rPr>
        <w:t>Кытмановским</w:t>
      </w:r>
      <w:proofErr w:type="spellEnd"/>
      <w:r w:rsidR="00912085" w:rsidRPr="00B763C1">
        <w:rPr>
          <w:color w:val="000000"/>
          <w:szCs w:val="28"/>
        </w:rPr>
        <w:t xml:space="preserve"> районом, на юге – с Зональный районом, на юге и юго-востоке – с Целинным районом Алтайского края, на севере и северо-востоке – с МО Ерёминский сельсовет, на северо-западе – с МО Гордеевский сельсовет, на западе – с МО Петровский и МО Кипешинский сельсовет Троицкого района.</w:t>
      </w:r>
      <w:proofErr w:type="gramEnd"/>
      <w:r w:rsidR="00912085" w:rsidRPr="00B763C1">
        <w:rPr>
          <w:color w:val="000000"/>
          <w:szCs w:val="28"/>
        </w:rPr>
        <w:t xml:space="preserve"> МО Хайрюзовский сельсовет занимает 2/3 восточной части Троицкого района, п</w:t>
      </w:r>
      <w:r w:rsidR="00912085" w:rsidRPr="00B763C1">
        <w:rPr>
          <w:szCs w:val="28"/>
        </w:rPr>
        <w:t>лощадь муниципального образования составляет 839,72</w:t>
      </w:r>
      <w:r w:rsidR="00912085" w:rsidRPr="00B763C1">
        <w:t xml:space="preserve"> </w:t>
      </w:r>
      <w:r w:rsidR="00912085" w:rsidRPr="00B763C1">
        <w:rPr>
          <w:szCs w:val="28"/>
        </w:rPr>
        <w:t xml:space="preserve">км², в его состав входят 7 населенных пунктов. </w:t>
      </w:r>
      <w:r w:rsidRPr="008205A1">
        <w:t xml:space="preserve"> </w:t>
      </w:r>
      <w:r w:rsidR="00912085">
        <w:t>Ч</w:t>
      </w:r>
      <w:r w:rsidRPr="008205A1">
        <w:t>исленность</w:t>
      </w:r>
      <w:r w:rsidRPr="00176293">
        <w:t xml:space="preserve"> население в 2021 году </w:t>
      </w:r>
      <w:r w:rsidR="00912085">
        <w:t>2276</w:t>
      </w:r>
      <w:r w:rsidR="008205A1">
        <w:t xml:space="preserve"> </w:t>
      </w:r>
      <w:r w:rsidRPr="00176293">
        <w:t>человек.</w:t>
      </w:r>
      <w:r w:rsidR="009959CE" w:rsidRPr="00176293">
        <w:t xml:space="preserve"> </w:t>
      </w:r>
      <w:r w:rsidR="00912085" w:rsidRPr="00B763C1">
        <w:rPr>
          <w:szCs w:val="28"/>
        </w:rPr>
        <w:t xml:space="preserve">По территории проходит автомобильная дорога регионального значения </w:t>
      </w:r>
      <w:proofErr w:type="gramStart"/>
      <w:r w:rsidR="00912085" w:rsidRPr="00B763C1">
        <w:rPr>
          <w:szCs w:val="28"/>
        </w:rPr>
        <w:t>Троицк-Целинное</w:t>
      </w:r>
      <w:proofErr w:type="gramEnd"/>
      <w:r w:rsidR="00912085" w:rsidRPr="00B763C1">
        <w:rPr>
          <w:szCs w:val="28"/>
        </w:rPr>
        <w:t>.</w:t>
      </w:r>
      <w:r w:rsidR="00912085" w:rsidRPr="00B763C1">
        <w:rPr>
          <w:color w:val="000000"/>
          <w:szCs w:val="28"/>
        </w:rPr>
        <w:t xml:space="preserve"> </w:t>
      </w:r>
      <w:proofErr w:type="gramStart"/>
      <w:r w:rsidR="00912085" w:rsidRPr="00B763C1">
        <w:rPr>
          <w:color w:val="000000"/>
          <w:szCs w:val="28"/>
        </w:rPr>
        <w:t>Расстояние от административного центра (с. Хайрюзовка) до районного центра (с. Троицкое) составляет 22 км, до краевого центра (г. Барнаул) –120 км, до</w:t>
      </w:r>
      <w:r w:rsidR="00912085" w:rsidRPr="00B763C1">
        <w:rPr>
          <w:szCs w:val="28"/>
        </w:rPr>
        <w:t xml:space="preserve"> ближайшей железнодорожной станции (ст. Большая Речка) – 22 км.</w:t>
      </w:r>
      <w:proofErr w:type="gramEnd"/>
      <w:r w:rsidR="00912085" w:rsidRPr="00B763C1">
        <w:rPr>
          <w:szCs w:val="28"/>
        </w:rPr>
        <w:t xml:space="preserve"> Пассажирское и </w:t>
      </w:r>
      <w:r w:rsidR="00912085" w:rsidRPr="00B763C1">
        <w:rPr>
          <w:szCs w:val="28"/>
        </w:rPr>
        <w:lastRenderedPageBreak/>
        <w:t>грузовое сообщение с другими районами и городами края осуществляется по автомобильным дорогам.</w:t>
      </w:r>
    </w:p>
    <w:p w14:paraId="252E8F8D" w14:textId="5412586B" w:rsidR="00EE3FA9" w:rsidRPr="00176293" w:rsidRDefault="000C4666" w:rsidP="00912085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912085">
        <w:t xml:space="preserve">По агроклиматическому районированию Алтайского края территория МО Хайрюзовский сельсовет относится к </w:t>
      </w:r>
      <w:proofErr w:type="spellStart"/>
      <w:r w:rsidR="00912085">
        <w:t>подзоне</w:t>
      </w:r>
      <w:proofErr w:type="spellEnd"/>
      <w:r w:rsidR="00912085">
        <w:t xml:space="preserve"> теплого климата с умеренным увлажнением. Климат имеет ярко выраженные черты </w:t>
      </w:r>
      <w:proofErr w:type="spellStart"/>
      <w:r w:rsidR="00912085">
        <w:t>континентальности</w:t>
      </w:r>
      <w:proofErr w:type="spellEnd"/>
      <w:r w:rsidR="00912085">
        <w:t>: холодная, длительная, снежная зима и короткое, теплое, иногда жаркое лето. Высокие летние и низкие зимние температуры, резкая смена температуры в течение суток, небольшое количество осадков, поздние весенние и ранние осенние заморозки характерны для данного района. Средняя температура января – -180С, июля – +190С. Среднегодовая температура положительная 0,50</w:t>
      </w:r>
      <w:proofErr w:type="gramStart"/>
      <w:r w:rsidR="00912085">
        <w:t>С</w:t>
      </w:r>
      <w:proofErr w:type="gramEnd"/>
      <w:r w:rsidR="00912085">
        <w:t xml:space="preserve"> (таблица №2). </w:t>
      </w:r>
      <w:r w:rsidR="00EE3FA9" w:rsidRPr="00176293">
        <w:t xml:space="preserve"> Снежный покров - 40 см.</w:t>
      </w:r>
    </w:p>
    <w:p w14:paraId="5F8C772E" w14:textId="50DF23AB" w:rsidR="0003045F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2.2.3. </w:t>
      </w:r>
      <w:r w:rsidR="00B32CB2" w:rsidRPr="00176293">
        <w:t xml:space="preserve">Административным центром поселения </w:t>
      </w:r>
      <w:r w:rsidR="00E22E2C" w:rsidRPr="00176293">
        <w:t xml:space="preserve">является </w:t>
      </w:r>
      <w:r w:rsidR="008205A1">
        <w:t>село</w:t>
      </w:r>
      <w:r w:rsidR="00E22E2C" w:rsidRPr="00176293">
        <w:t xml:space="preserve"> </w:t>
      </w:r>
      <w:r w:rsidR="00912085">
        <w:t>Хайрюзовка</w:t>
      </w:r>
      <w:r w:rsidR="00B32CB2" w:rsidRPr="00176293">
        <w:t xml:space="preserve">. В структуре земель преобладают </w:t>
      </w:r>
      <w:r w:rsidR="00912085">
        <w:t xml:space="preserve">земли сельскохозяйственного назначения – 78,7%, </w:t>
      </w:r>
      <w:r w:rsidR="00B32CB2" w:rsidRPr="00176293">
        <w:t xml:space="preserve">земли </w:t>
      </w:r>
      <w:proofErr w:type="spellStart"/>
      <w:r w:rsidR="00B32CB2" w:rsidRPr="00176293">
        <w:t>лесфонда</w:t>
      </w:r>
      <w:proofErr w:type="spellEnd"/>
      <w:r w:rsidR="00B32CB2" w:rsidRPr="00176293">
        <w:t xml:space="preserve"> </w:t>
      </w:r>
      <w:r w:rsidR="00907702" w:rsidRPr="00176293">
        <w:t>–</w:t>
      </w:r>
      <w:r w:rsidR="00B32CB2" w:rsidRPr="00176293">
        <w:t xml:space="preserve"> </w:t>
      </w:r>
      <w:r w:rsidR="00912085">
        <w:t>17,3</w:t>
      </w:r>
      <w:r w:rsidR="00B32CB2" w:rsidRPr="00176293">
        <w:t xml:space="preserve">%, земли в границах села </w:t>
      </w:r>
      <w:r w:rsidR="00451F31" w:rsidRPr="00176293">
        <w:t>населенных пунктов</w:t>
      </w:r>
      <w:r w:rsidR="00B32CB2" w:rsidRPr="00176293">
        <w:t xml:space="preserve"> </w:t>
      </w:r>
      <w:r w:rsidR="00451F31" w:rsidRPr="00176293">
        <w:t>–</w:t>
      </w:r>
      <w:r w:rsidR="00B32CB2" w:rsidRPr="00176293">
        <w:t xml:space="preserve"> </w:t>
      </w:r>
      <w:r w:rsidR="00912085">
        <w:t>1,7</w:t>
      </w:r>
      <w:r w:rsidR="00B32CB2" w:rsidRPr="00176293">
        <w:t>%</w:t>
      </w:r>
      <w:r w:rsidR="00912085">
        <w:t>.</w:t>
      </w:r>
      <w:r w:rsidR="008205A1">
        <w:t xml:space="preserve"> </w:t>
      </w:r>
      <w:r w:rsidR="00B32CB2" w:rsidRPr="00176293">
        <w:t xml:space="preserve">Большая часть земель </w:t>
      </w:r>
      <w:r w:rsidR="00451F31" w:rsidRPr="00176293">
        <w:t>населенных пунктов занята землями жилой зоны.</w:t>
      </w:r>
    </w:p>
    <w:p w14:paraId="42190872" w14:textId="585931A6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 xml:space="preserve">Населенные пункты </w:t>
      </w:r>
      <w:r w:rsidR="00912085">
        <w:t>МОХС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</w:t>
      </w:r>
    </w:p>
    <w:p w14:paraId="0F9B22BC" w14:textId="21C0A0CB" w:rsidR="00DE09C1" w:rsidRPr="00176293" w:rsidRDefault="00451F3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176293">
        <w:t xml:space="preserve">Количество автобусных маршрутов </w:t>
      </w:r>
      <w:r w:rsidR="00907702" w:rsidRPr="00176293">
        <w:t>–</w:t>
      </w:r>
      <w:r w:rsidR="00DE09C1" w:rsidRPr="00176293">
        <w:t xml:space="preserve"> </w:t>
      </w:r>
      <w:r w:rsidR="00680916">
        <w:t>5</w:t>
      </w:r>
      <w:r w:rsidR="00DE09C1" w:rsidRPr="00176293">
        <w:t xml:space="preserve">. </w:t>
      </w:r>
      <w:r w:rsidR="00680916">
        <w:t>Общая п</w:t>
      </w:r>
      <w:r w:rsidR="00DE09C1" w:rsidRPr="00176293">
        <w:t xml:space="preserve">ротяженность маршрутов составляет </w:t>
      </w:r>
      <w:r w:rsidR="00680916">
        <w:t>248</w:t>
      </w:r>
      <w:r w:rsidR="00DE09C1" w:rsidRPr="00176293">
        <w:t xml:space="preserve"> км.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619B51EA" w14:textId="77777777" w:rsidR="00680916" w:rsidRPr="00B763C1" w:rsidRDefault="000C4666" w:rsidP="00680916">
      <w:pPr>
        <w:ind w:firstLine="709"/>
        <w:contextualSpacing/>
        <w:jc w:val="both"/>
        <w:rPr>
          <w:szCs w:val="28"/>
        </w:rPr>
      </w:pPr>
      <w:r w:rsidRPr="00176293">
        <w:t xml:space="preserve">2.2.5. </w:t>
      </w:r>
      <w:proofErr w:type="gramStart"/>
      <w:r w:rsidR="00EA44DA" w:rsidRPr="00176293"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176293">
        <w:t>.</w:t>
      </w:r>
      <w:proofErr w:type="gramEnd"/>
      <w:r w:rsidR="00D4378A" w:rsidRPr="00176293">
        <w:t xml:space="preserve"> </w:t>
      </w:r>
      <w:r w:rsidR="00680916" w:rsidRPr="00B763C1">
        <w:rPr>
          <w:szCs w:val="28"/>
        </w:rPr>
        <w:t xml:space="preserve">Образовательные учреждения представлены: школами (с 1 по 11 класс) в селах: Хайрюзовка, Усть-Гавриловка, </w:t>
      </w:r>
      <w:proofErr w:type="gramStart"/>
      <w:r w:rsidR="00680916" w:rsidRPr="00B763C1">
        <w:rPr>
          <w:szCs w:val="28"/>
        </w:rPr>
        <w:t>Горновое</w:t>
      </w:r>
      <w:proofErr w:type="gramEnd"/>
      <w:r w:rsidR="00680916" w:rsidRPr="00B763C1">
        <w:rPr>
          <w:szCs w:val="28"/>
        </w:rPr>
        <w:t>, Новоеловка, Ельцовка и дошкольными образовательными учреждениями в населенных пунктах Хайрюзовка, Ельцовка, Горновое.</w:t>
      </w:r>
    </w:p>
    <w:p w14:paraId="7FC1E1B9" w14:textId="343B40AE" w:rsidR="00680916" w:rsidRPr="00B763C1" w:rsidRDefault="00680916" w:rsidP="00680916">
      <w:pPr>
        <w:ind w:firstLine="709"/>
        <w:contextualSpacing/>
        <w:jc w:val="both"/>
        <w:rPr>
          <w:szCs w:val="28"/>
        </w:rPr>
      </w:pPr>
      <w:proofErr w:type="gramStart"/>
      <w:r w:rsidRPr="00B763C1">
        <w:rPr>
          <w:szCs w:val="28"/>
        </w:rPr>
        <w:t>Вместимость МОУ «</w:t>
      </w:r>
      <w:proofErr w:type="spellStart"/>
      <w:r w:rsidRPr="00B763C1">
        <w:rPr>
          <w:szCs w:val="28"/>
        </w:rPr>
        <w:t>Хайрюзовская</w:t>
      </w:r>
      <w:proofErr w:type="spellEnd"/>
      <w:r w:rsidRPr="00B763C1">
        <w:rPr>
          <w:szCs w:val="28"/>
        </w:rPr>
        <w:t xml:space="preserve"> СОШ» составляет 320 мест, школу посещают ученики из с. Хайрюзовка, МОУ «</w:t>
      </w:r>
      <w:proofErr w:type="spellStart"/>
      <w:r w:rsidRPr="00B763C1">
        <w:rPr>
          <w:szCs w:val="28"/>
        </w:rPr>
        <w:t>Горновская</w:t>
      </w:r>
      <w:proofErr w:type="spellEnd"/>
      <w:r w:rsidRPr="00B763C1">
        <w:rPr>
          <w:szCs w:val="28"/>
        </w:rPr>
        <w:t xml:space="preserve"> СОШ» составляет 180 мест, школу посещают ученики из с. Горновое, МОУ «</w:t>
      </w:r>
      <w:proofErr w:type="spellStart"/>
      <w:r w:rsidRPr="00B763C1">
        <w:rPr>
          <w:szCs w:val="28"/>
        </w:rPr>
        <w:t>Ельцовская</w:t>
      </w:r>
      <w:proofErr w:type="spellEnd"/>
      <w:r w:rsidRPr="00B763C1">
        <w:rPr>
          <w:szCs w:val="28"/>
        </w:rPr>
        <w:t xml:space="preserve"> СОШ» составляет </w:t>
      </w:r>
      <w:r>
        <w:rPr>
          <w:szCs w:val="28"/>
        </w:rPr>
        <w:t>18</w:t>
      </w:r>
      <w:r w:rsidRPr="00B763C1">
        <w:rPr>
          <w:szCs w:val="28"/>
        </w:rPr>
        <w:t xml:space="preserve">0 мест, школу посещают ученики из с. Ельцовка и с. </w:t>
      </w:r>
      <w:proofErr w:type="spellStart"/>
      <w:r w:rsidRPr="00B763C1">
        <w:rPr>
          <w:szCs w:val="28"/>
        </w:rPr>
        <w:t>Талдинка</w:t>
      </w:r>
      <w:proofErr w:type="spellEnd"/>
      <w:r w:rsidRPr="00B763C1">
        <w:rPr>
          <w:szCs w:val="28"/>
        </w:rPr>
        <w:t>, МОУ «Усть-</w:t>
      </w:r>
      <w:proofErr w:type="spellStart"/>
      <w:r w:rsidRPr="00B763C1">
        <w:rPr>
          <w:szCs w:val="28"/>
        </w:rPr>
        <w:t>Гавриловская</w:t>
      </w:r>
      <w:proofErr w:type="spellEnd"/>
      <w:r w:rsidRPr="00B763C1">
        <w:rPr>
          <w:szCs w:val="28"/>
        </w:rPr>
        <w:t xml:space="preserve"> СОШ» составляет 180 мест, школу посещают ученики из с. Усть-Гавриловка,</w:t>
      </w:r>
      <w:r>
        <w:rPr>
          <w:szCs w:val="28"/>
        </w:rPr>
        <w:t xml:space="preserve"> </w:t>
      </w:r>
      <w:r w:rsidRPr="00B763C1">
        <w:rPr>
          <w:szCs w:val="28"/>
        </w:rPr>
        <w:t>МОУ «Новоеловская СОШ» составляет 320 мест, школу посещают</w:t>
      </w:r>
      <w:proofErr w:type="gramEnd"/>
      <w:r w:rsidRPr="00B763C1">
        <w:rPr>
          <w:szCs w:val="28"/>
        </w:rPr>
        <w:t xml:space="preserve"> ученики </w:t>
      </w:r>
      <w:proofErr w:type="gramStart"/>
      <w:r w:rsidRPr="00B763C1">
        <w:rPr>
          <w:szCs w:val="28"/>
        </w:rPr>
        <w:t>из</w:t>
      </w:r>
      <w:proofErr w:type="gramEnd"/>
      <w:r w:rsidRPr="00B763C1">
        <w:rPr>
          <w:szCs w:val="28"/>
        </w:rPr>
        <w:t xml:space="preserve"> с. Новоеловка и с. Гордеевка</w:t>
      </w:r>
      <w:r>
        <w:rPr>
          <w:szCs w:val="28"/>
        </w:rPr>
        <w:t xml:space="preserve">. </w:t>
      </w:r>
      <w:r w:rsidRPr="00B763C1">
        <w:rPr>
          <w:szCs w:val="28"/>
        </w:rPr>
        <w:t xml:space="preserve">Доставка учеников из сел </w:t>
      </w:r>
      <w:proofErr w:type="spellStart"/>
      <w:proofErr w:type="gramStart"/>
      <w:r w:rsidRPr="00B763C1">
        <w:rPr>
          <w:szCs w:val="28"/>
        </w:rPr>
        <w:t>Талдинка</w:t>
      </w:r>
      <w:proofErr w:type="spellEnd"/>
      <w:proofErr w:type="gramEnd"/>
      <w:r w:rsidRPr="00B763C1">
        <w:rPr>
          <w:szCs w:val="28"/>
        </w:rPr>
        <w:t xml:space="preserve"> и Гордеевка осуществляется школьными автобусами. </w:t>
      </w:r>
    </w:p>
    <w:p w14:paraId="4BFD63AD" w14:textId="34545935" w:rsidR="00680916" w:rsidRPr="00B763C1" w:rsidRDefault="00680916" w:rsidP="00680916">
      <w:pPr>
        <w:ind w:firstLine="709"/>
        <w:contextualSpacing/>
        <w:jc w:val="both"/>
        <w:rPr>
          <w:b/>
          <w:szCs w:val="28"/>
        </w:rPr>
      </w:pPr>
      <w:proofErr w:type="gramStart"/>
      <w:r w:rsidRPr="00B763C1">
        <w:rPr>
          <w:szCs w:val="28"/>
        </w:rPr>
        <w:t>Детский сад «Солнышко» (с. Хайрюзовка)  рассчитан на 60 мест</w:t>
      </w:r>
      <w:r>
        <w:rPr>
          <w:szCs w:val="28"/>
        </w:rPr>
        <w:t>, д</w:t>
      </w:r>
      <w:r w:rsidRPr="00B763C1">
        <w:rPr>
          <w:szCs w:val="28"/>
        </w:rPr>
        <w:t>етский сад «Ягодка» (с. Ельцовка)  рассчитан на 40</w:t>
      </w:r>
      <w:r>
        <w:rPr>
          <w:szCs w:val="28"/>
        </w:rPr>
        <w:t xml:space="preserve"> мест, д</w:t>
      </w:r>
      <w:r w:rsidRPr="00B763C1">
        <w:rPr>
          <w:szCs w:val="28"/>
        </w:rPr>
        <w:t xml:space="preserve">етский сад «Росинка» (с. Горновое)  рассчитан на </w:t>
      </w:r>
      <w:r>
        <w:rPr>
          <w:szCs w:val="28"/>
        </w:rPr>
        <w:t>3</w:t>
      </w:r>
      <w:r w:rsidRPr="00B763C1">
        <w:rPr>
          <w:szCs w:val="28"/>
        </w:rPr>
        <w:t>5 мест.</w:t>
      </w:r>
      <w:proofErr w:type="gramEnd"/>
    </w:p>
    <w:p w14:paraId="58C538D3" w14:textId="12159900" w:rsidR="00680916" w:rsidRPr="00B763C1" w:rsidRDefault="000C4666" w:rsidP="00680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0916">
        <w:t xml:space="preserve">2.2.6. </w:t>
      </w:r>
      <w:r w:rsidR="00680916" w:rsidRPr="00B763C1">
        <w:rPr>
          <w:szCs w:val="28"/>
        </w:rPr>
        <w:t xml:space="preserve">На территории муниципального образования учреждения здравоохранения представлены: фельдшерско-акушерскими пунктами в </w:t>
      </w:r>
      <w:proofErr w:type="spellStart"/>
      <w:r w:rsidR="00680916" w:rsidRPr="00B763C1">
        <w:rPr>
          <w:szCs w:val="28"/>
        </w:rPr>
        <w:t>с</w:t>
      </w:r>
      <w:proofErr w:type="gramStart"/>
      <w:r w:rsidR="00680916" w:rsidRPr="00B763C1">
        <w:rPr>
          <w:szCs w:val="28"/>
        </w:rPr>
        <w:t>.Х</w:t>
      </w:r>
      <w:proofErr w:type="gramEnd"/>
      <w:r w:rsidR="00680916" w:rsidRPr="00B763C1">
        <w:rPr>
          <w:szCs w:val="28"/>
        </w:rPr>
        <w:t>айрюзовка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с.Новоеловка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с.Гордеевка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с.Усть</w:t>
      </w:r>
      <w:proofErr w:type="spellEnd"/>
      <w:r w:rsidR="00680916" w:rsidRPr="00B763C1">
        <w:rPr>
          <w:szCs w:val="28"/>
        </w:rPr>
        <w:t xml:space="preserve">-Гавриловка, </w:t>
      </w:r>
      <w:proofErr w:type="spellStart"/>
      <w:r w:rsidR="00680916" w:rsidRPr="00B763C1">
        <w:rPr>
          <w:szCs w:val="28"/>
        </w:rPr>
        <w:t>с.Горновое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с.Ельцовка</w:t>
      </w:r>
      <w:proofErr w:type="spellEnd"/>
      <w:r w:rsidR="00680916" w:rsidRPr="00B763C1">
        <w:rPr>
          <w:szCs w:val="28"/>
        </w:rPr>
        <w:t xml:space="preserve">, </w:t>
      </w:r>
      <w:proofErr w:type="spellStart"/>
      <w:r w:rsidR="00680916" w:rsidRPr="00B763C1">
        <w:rPr>
          <w:szCs w:val="28"/>
        </w:rPr>
        <w:t>с.Талдинка</w:t>
      </w:r>
      <w:proofErr w:type="spellEnd"/>
      <w:r w:rsidR="00680916" w:rsidRPr="00B763C1">
        <w:rPr>
          <w:szCs w:val="28"/>
        </w:rPr>
        <w:t>. Учреждения здравоохранения характеризуются высоким процентом износа оборудования, размещаются в основном в приспособленных помещениях.</w:t>
      </w:r>
    </w:p>
    <w:p w14:paraId="5C0D4875" w14:textId="77777777" w:rsidR="00C77201" w:rsidRPr="00B763C1" w:rsidRDefault="000C4666" w:rsidP="00C77201">
      <w:pPr>
        <w:ind w:firstLine="709"/>
        <w:contextualSpacing/>
        <w:jc w:val="both"/>
        <w:rPr>
          <w:szCs w:val="28"/>
        </w:rPr>
      </w:pPr>
      <w:r w:rsidRPr="00640A3D">
        <w:t>2.2.</w:t>
      </w:r>
      <w:r w:rsidR="005A1B25" w:rsidRPr="00640A3D">
        <w:t>7</w:t>
      </w:r>
      <w:r w:rsidRPr="00640A3D">
        <w:t xml:space="preserve">. </w:t>
      </w:r>
      <w:r w:rsidR="00C77201" w:rsidRPr="00B763C1">
        <w:rPr>
          <w:szCs w:val="28"/>
        </w:rPr>
        <w:t xml:space="preserve">На территории муниципального образования в сфере культуры действуют: </w:t>
      </w:r>
    </w:p>
    <w:p w14:paraId="04A1924A" w14:textId="77777777" w:rsidR="00C77201" w:rsidRPr="00B763C1" w:rsidRDefault="00C77201" w:rsidP="00C77201">
      <w:pPr>
        <w:numPr>
          <w:ilvl w:val="0"/>
          <w:numId w:val="18"/>
        </w:numPr>
        <w:ind w:left="0" w:firstLine="0"/>
        <w:contextualSpacing/>
        <w:jc w:val="both"/>
        <w:rPr>
          <w:szCs w:val="28"/>
        </w:rPr>
      </w:pPr>
      <w:proofErr w:type="gramStart"/>
      <w:r w:rsidRPr="00B763C1">
        <w:rPr>
          <w:szCs w:val="28"/>
        </w:rPr>
        <w:t>5 сельских домов культуры (в селах:</w:t>
      </w:r>
      <w:proofErr w:type="gramEnd"/>
      <w:r w:rsidRPr="00B763C1">
        <w:rPr>
          <w:szCs w:val="28"/>
        </w:rPr>
        <w:t xml:space="preserve"> Хайрюзовка на 110 мест, Усть-Гавриловка на 30 мест, </w:t>
      </w:r>
      <w:proofErr w:type="gramStart"/>
      <w:r w:rsidRPr="00B763C1">
        <w:rPr>
          <w:szCs w:val="28"/>
        </w:rPr>
        <w:t>Горновое</w:t>
      </w:r>
      <w:proofErr w:type="gramEnd"/>
      <w:r w:rsidRPr="00B763C1">
        <w:rPr>
          <w:szCs w:val="28"/>
        </w:rPr>
        <w:t xml:space="preserve"> на 50 мест, Новоеловка на 70 мест, Ельцовка на 90 мест);</w:t>
      </w:r>
    </w:p>
    <w:p w14:paraId="4575D5EF" w14:textId="77777777" w:rsidR="00C77201" w:rsidRPr="00B763C1" w:rsidRDefault="00C77201" w:rsidP="00C77201">
      <w:pPr>
        <w:numPr>
          <w:ilvl w:val="0"/>
          <w:numId w:val="18"/>
        </w:numPr>
        <w:ind w:left="0" w:firstLine="0"/>
        <w:contextualSpacing/>
        <w:jc w:val="both"/>
        <w:rPr>
          <w:szCs w:val="28"/>
        </w:rPr>
      </w:pPr>
      <w:r w:rsidRPr="00B763C1">
        <w:rPr>
          <w:szCs w:val="28"/>
        </w:rPr>
        <w:t xml:space="preserve">2 Дома досуга (в селах </w:t>
      </w:r>
      <w:proofErr w:type="spellStart"/>
      <w:r w:rsidRPr="00B763C1">
        <w:rPr>
          <w:szCs w:val="28"/>
        </w:rPr>
        <w:t>Талдинка</w:t>
      </w:r>
      <w:proofErr w:type="spellEnd"/>
      <w:r w:rsidRPr="00B763C1">
        <w:rPr>
          <w:szCs w:val="28"/>
        </w:rPr>
        <w:t xml:space="preserve"> и Гордеевка);</w:t>
      </w:r>
    </w:p>
    <w:p w14:paraId="549CFC60" w14:textId="77777777" w:rsidR="00C77201" w:rsidRPr="00B763C1" w:rsidRDefault="00C77201" w:rsidP="00C77201">
      <w:pPr>
        <w:numPr>
          <w:ilvl w:val="0"/>
          <w:numId w:val="18"/>
        </w:numPr>
        <w:ind w:left="0" w:firstLine="0"/>
        <w:contextualSpacing/>
        <w:jc w:val="both"/>
        <w:rPr>
          <w:szCs w:val="28"/>
        </w:rPr>
      </w:pPr>
      <w:proofErr w:type="gramStart"/>
      <w:r w:rsidRPr="00B763C1">
        <w:rPr>
          <w:szCs w:val="28"/>
        </w:rPr>
        <w:t>5 библиотек (в селах:</w:t>
      </w:r>
      <w:proofErr w:type="gramEnd"/>
      <w:r w:rsidRPr="00B763C1">
        <w:rPr>
          <w:szCs w:val="28"/>
        </w:rPr>
        <w:t xml:space="preserve"> Хайрюзовка, Усть-Гавриловка, </w:t>
      </w:r>
      <w:proofErr w:type="gramStart"/>
      <w:r w:rsidRPr="00B763C1">
        <w:rPr>
          <w:szCs w:val="28"/>
        </w:rPr>
        <w:t>Горновое</w:t>
      </w:r>
      <w:proofErr w:type="gramEnd"/>
      <w:r w:rsidRPr="00B763C1">
        <w:rPr>
          <w:szCs w:val="28"/>
        </w:rPr>
        <w:t xml:space="preserve">, Новоеловка, Ельцовка). </w:t>
      </w:r>
    </w:p>
    <w:p w14:paraId="768CB2EE" w14:textId="7BD14BF5" w:rsidR="00EE3FA9" w:rsidRPr="00176293" w:rsidRDefault="00EE3FA9" w:rsidP="00EE3FA9">
      <w:pPr>
        <w:autoSpaceDE w:val="0"/>
        <w:autoSpaceDN w:val="0"/>
        <w:adjustRightInd w:val="0"/>
        <w:ind w:firstLine="567"/>
        <w:jc w:val="both"/>
      </w:pPr>
      <w:r w:rsidRPr="006611FE">
        <w:lastRenderedPageBreak/>
        <w:t>2.2.</w:t>
      </w:r>
      <w:r w:rsidR="005A1B25" w:rsidRPr="006611FE">
        <w:t>8</w:t>
      </w:r>
      <w:r w:rsidRPr="006611FE">
        <w:t xml:space="preserve">. Современный жилой фонд составляет </w:t>
      </w:r>
      <w:r w:rsidR="00C77201">
        <w:t>56,3</w:t>
      </w:r>
      <w:r w:rsidRPr="006611FE">
        <w:t xml:space="preserve"> тыс. </w:t>
      </w:r>
      <w:proofErr w:type="spellStart"/>
      <w:r w:rsidRPr="006611FE">
        <w:t>кв</w:t>
      </w:r>
      <w:proofErr w:type="gramStart"/>
      <w:r w:rsidRPr="006611FE">
        <w:t>.м</w:t>
      </w:r>
      <w:proofErr w:type="spellEnd"/>
      <w:proofErr w:type="gramEnd"/>
      <w:r w:rsidRPr="006611FE">
        <w:t xml:space="preserve">, общей площади. Средняя жилищная обеспеченность составляет </w:t>
      </w:r>
      <w:r w:rsidR="00AC46DA">
        <w:t>19,5</w:t>
      </w:r>
      <w:r w:rsidRPr="006611FE">
        <w:t xml:space="preserve"> </w:t>
      </w:r>
      <w:proofErr w:type="spellStart"/>
      <w:r w:rsidRPr="006611FE">
        <w:t>кв</w:t>
      </w:r>
      <w:proofErr w:type="gramStart"/>
      <w:r w:rsidRPr="006611FE">
        <w:t>.м</w:t>
      </w:r>
      <w:proofErr w:type="spellEnd"/>
      <w:proofErr w:type="gramEnd"/>
      <w:r w:rsidRPr="006611FE">
        <w:t>, общей площади на одного человека</w:t>
      </w:r>
      <w:r w:rsidRPr="00176293">
        <w:t xml:space="preserve">. Приусадебные участки небольшие по величине и в среднем составляют около </w:t>
      </w:r>
      <w:r w:rsidR="006611FE">
        <w:t>10</w:t>
      </w:r>
      <w:r w:rsidRPr="00176293">
        <w:t xml:space="preserve"> соток. </w:t>
      </w:r>
      <w:r w:rsidR="006611FE" w:rsidRPr="006611FE">
        <w:t xml:space="preserve">По типу застройки в структуре жилого фонда преобладают дома усадебного типа. При этом </w:t>
      </w:r>
      <w:r w:rsidR="00AC46DA" w:rsidRPr="00AC46DA">
        <w:t>более 82% – это одноквартирные жилые дома, 16% – двухквартирные дома, 1,2% от общего количества жилых домов – это 3 трехквартирных и более жилых дома усадебного типа.</w:t>
      </w:r>
      <w:r w:rsidR="006611FE">
        <w:t xml:space="preserve"> </w:t>
      </w:r>
    </w:p>
    <w:p w14:paraId="74FDA601" w14:textId="61F4ED32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</w:t>
      </w:r>
      <w:r w:rsidR="006611FE" w:rsidRPr="006611FE">
        <w:t xml:space="preserve">В настоящее время водоснабжение населения осуществляется из существующего кольцевого водопровода со скважинами и водонапорными башнями. Водопроводные скважины расположены в различных частях села. </w:t>
      </w:r>
      <w:r w:rsidR="005345B1" w:rsidRPr="00176293">
        <w:t xml:space="preserve">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422E5C7D" w14:textId="50B27314" w:rsidR="00AC46DA" w:rsidRDefault="005345B1" w:rsidP="002A1E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611FE">
        <w:t xml:space="preserve">Система электроснабжения муниципального образования </w:t>
      </w:r>
      <w:r w:rsidR="00912085">
        <w:t>Хайрюзовский</w:t>
      </w:r>
      <w:r w:rsidRPr="006611FE">
        <w:t xml:space="preserve"> сельсовет централизованная,</w:t>
      </w:r>
      <w:r w:rsidR="006611FE" w:rsidRPr="006611FE">
        <w:t xml:space="preserve"> осуществляется от </w:t>
      </w:r>
      <w:proofErr w:type="spellStart"/>
      <w:r w:rsidR="00AC46DA">
        <w:rPr>
          <w:szCs w:val="28"/>
        </w:rPr>
        <w:t>Хайрюзовской</w:t>
      </w:r>
      <w:proofErr w:type="spellEnd"/>
      <w:r w:rsidR="00AC46DA">
        <w:rPr>
          <w:szCs w:val="28"/>
        </w:rPr>
        <w:t xml:space="preserve"> </w:t>
      </w:r>
      <w:r w:rsidR="006611FE" w:rsidRPr="006611FE">
        <w:t xml:space="preserve">энергосистемы. Источник электроснабжения </w:t>
      </w:r>
      <w:r w:rsidR="00AC46DA">
        <w:rPr>
          <w:szCs w:val="28"/>
        </w:rPr>
        <w:t xml:space="preserve">ПС </w:t>
      </w:r>
      <w:r w:rsidR="00AC46DA">
        <w:rPr>
          <w:szCs w:val="28"/>
          <w:lang w:val="en-US"/>
        </w:rPr>
        <w:t>N</w:t>
      </w:r>
      <w:r w:rsidR="00AC46DA" w:rsidRPr="00CA7C15">
        <w:rPr>
          <w:szCs w:val="28"/>
        </w:rPr>
        <w:t xml:space="preserve">5 </w:t>
      </w:r>
      <w:r w:rsidR="00AC46DA">
        <w:rPr>
          <w:szCs w:val="28"/>
        </w:rPr>
        <w:t>«Колхозная» 35/10кВ</w:t>
      </w:r>
      <w:r w:rsidR="00AC46DA" w:rsidRPr="00752997">
        <w:rPr>
          <w:szCs w:val="28"/>
        </w:rPr>
        <w:t>.</w:t>
      </w:r>
    </w:p>
    <w:p w14:paraId="2F15729A" w14:textId="235C43E2" w:rsidR="005345B1" w:rsidRPr="00176293" w:rsidRDefault="006611FE" w:rsidP="002A1E0A">
      <w:pPr>
        <w:autoSpaceDE w:val="0"/>
        <w:autoSpaceDN w:val="0"/>
        <w:adjustRightInd w:val="0"/>
        <w:ind w:firstLine="567"/>
        <w:jc w:val="both"/>
      </w:pPr>
      <w:r>
        <w:t xml:space="preserve">Система теплоснабжения. </w:t>
      </w:r>
      <w:r w:rsidRPr="006611FE">
        <w:t>В настоящее время теплоснабжение жилых, общественных и культурно-бытовых зданий –  печное, водяное и от групповых котельных (школы, детские сады). Многоквартирные дома в военной части – централизованно от собственной котельной военной части.</w:t>
      </w:r>
      <w:r w:rsidR="00A053F7" w:rsidRPr="00176293">
        <w:t xml:space="preserve">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уголь.</w:t>
      </w:r>
      <w:r>
        <w:t xml:space="preserve"> </w:t>
      </w:r>
    </w:p>
    <w:p w14:paraId="60ED1788" w14:textId="2CEF267A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912085">
        <w:t>МОХС</w:t>
      </w:r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912085">
        <w:t>МОХС</w:t>
      </w:r>
      <w:r w:rsidR="00F8411E" w:rsidRPr="00176293">
        <w:t xml:space="preserve">: </w:t>
      </w:r>
    </w:p>
    <w:p w14:paraId="32641E5A" w14:textId="4324BEE1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912085">
        <w:t>МОХС</w:t>
      </w:r>
      <w:r w:rsidRPr="00176293">
        <w:t>.</w:t>
      </w:r>
    </w:p>
    <w:p w14:paraId="0FBFB88E" w14:textId="7FC10E47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Генеральный план </w:t>
      </w:r>
      <w:r w:rsidR="00912085">
        <w:t>МОХС</w:t>
      </w:r>
      <w:r w:rsidR="00912A5A" w:rsidRPr="00176293">
        <w:t>.</w:t>
      </w:r>
    </w:p>
    <w:p w14:paraId="4917E1D3" w14:textId="3C4444A0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912085">
        <w:t>МОХС</w:t>
      </w:r>
      <w:r w:rsidR="00912A5A" w:rsidRPr="00176293">
        <w:t>.</w:t>
      </w:r>
    </w:p>
    <w:p w14:paraId="7E0E245E" w14:textId="63C2F41D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912085">
        <w:t>МОХС</w:t>
      </w:r>
      <w:r w:rsidR="00912A5A" w:rsidRPr="00176293">
        <w:t>.</w:t>
      </w:r>
      <w:r w:rsidRPr="00176293">
        <w:t xml:space="preserve"> </w:t>
      </w:r>
    </w:p>
    <w:p w14:paraId="2F49DB66" w14:textId="655BF306" w:rsidR="00F23E7E" w:rsidRPr="00176293" w:rsidRDefault="005A1226" w:rsidP="009477E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6293">
        <w:t>М</w:t>
      </w:r>
      <w:r w:rsidR="00DC4622" w:rsidRPr="00176293">
        <w:t>униципальн</w:t>
      </w:r>
      <w:r w:rsidRPr="00176293">
        <w:t>ая</w:t>
      </w:r>
      <w:r w:rsidR="00DC4622" w:rsidRPr="00176293">
        <w:t xml:space="preserve"> программ</w:t>
      </w:r>
      <w:r w:rsidRPr="00176293">
        <w:t>а</w:t>
      </w:r>
      <w:r w:rsidR="00DC4622" w:rsidRPr="00176293">
        <w:t xml:space="preserve"> «</w:t>
      </w:r>
      <w:r w:rsidR="009477E0" w:rsidRPr="00176293">
        <w:t xml:space="preserve">Комплексное развитие социальной инфраструктуры муниципального образования </w:t>
      </w:r>
      <w:r w:rsidR="00912085">
        <w:t>Хайрюзовский</w:t>
      </w:r>
      <w:r w:rsidR="009477E0" w:rsidRPr="00176293">
        <w:t xml:space="preserve"> сельсовет Троицкого района Алтайского края на 2017-203</w:t>
      </w:r>
      <w:r w:rsidR="006611FE">
        <w:t>4</w:t>
      </w:r>
      <w:r w:rsidR="009477E0" w:rsidRPr="00176293">
        <w:t xml:space="preserve"> </w:t>
      </w:r>
      <w:proofErr w:type="spellStart"/>
      <w:r w:rsidR="009477E0" w:rsidRPr="00176293">
        <w:t>г.</w:t>
      </w:r>
      <w:proofErr w:type="gramStart"/>
      <w:r w:rsidR="009477E0" w:rsidRPr="00176293">
        <w:t>г</w:t>
      </w:r>
      <w:proofErr w:type="spellEnd"/>
      <w:proofErr w:type="gramEnd"/>
      <w:r w:rsidR="009477E0" w:rsidRPr="00176293">
        <w:t>.</w:t>
      </w:r>
      <w:r w:rsidR="00DC4622" w:rsidRPr="00176293">
        <w:t>»</w:t>
      </w:r>
      <w:r w:rsidR="00912A5A" w:rsidRPr="00176293">
        <w:rPr>
          <w:szCs w:val="28"/>
        </w:rPr>
        <w:t>.</w:t>
      </w:r>
    </w:p>
    <w:p w14:paraId="4D68FFD0" w14:textId="3E8C97D5" w:rsidR="006611FE" w:rsidRDefault="005A1226" w:rsidP="009477E0">
      <w:pPr>
        <w:autoSpaceDE w:val="0"/>
        <w:autoSpaceDN w:val="0"/>
        <w:adjustRightInd w:val="0"/>
        <w:ind w:firstLine="567"/>
        <w:jc w:val="both"/>
      </w:pPr>
      <w:r w:rsidRPr="00176293">
        <w:t xml:space="preserve">Муниципальная программа </w:t>
      </w:r>
      <w:r w:rsidR="006611FE" w:rsidRPr="006611FE">
        <w:rPr>
          <w:rFonts w:ascii="TimesNewRomanPSMT" w:hAnsi="TimesNewRomanPSMT"/>
          <w:color w:val="000000"/>
        </w:rPr>
        <w:t>«Комплексное развитие систем коммунальной</w:t>
      </w:r>
      <w:r w:rsidR="006611FE" w:rsidRPr="006611FE">
        <w:rPr>
          <w:rFonts w:ascii="TimesNewRomanPSMT" w:hAnsi="TimesNewRomanPSMT"/>
          <w:color w:val="000000"/>
        </w:rPr>
        <w:br/>
        <w:t xml:space="preserve">инфраструктуры муниципального образования </w:t>
      </w:r>
      <w:r w:rsidR="00912085">
        <w:rPr>
          <w:rFonts w:ascii="TimesNewRomanPSMT" w:hAnsi="TimesNewRomanPSMT"/>
          <w:color w:val="000000"/>
        </w:rPr>
        <w:t>Хайрюзовский</w:t>
      </w:r>
      <w:r w:rsidR="006611FE" w:rsidRPr="006611FE">
        <w:rPr>
          <w:rFonts w:ascii="TimesNewRomanPSMT" w:hAnsi="TimesNewRomanPSMT"/>
          <w:color w:val="000000"/>
        </w:rPr>
        <w:t xml:space="preserve"> сельсовет</w:t>
      </w:r>
      <w:r w:rsidR="006611FE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Троицкого района</w:t>
      </w:r>
      <w:r w:rsidR="006611FE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Алтайского края</w:t>
      </w:r>
      <w:r w:rsidR="006611FE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на 2017-2033 годы»</w:t>
      </w:r>
      <w:r w:rsidR="006611FE">
        <w:rPr>
          <w:rFonts w:ascii="TimesNewRomanPSMT" w:hAnsi="TimesNewRomanPSMT"/>
          <w:color w:val="000000"/>
        </w:rPr>
        <w:t>.</w:t>
      </w:r>
      <w:r w:rsidR="006611FE" w:rsidRPr="006611FE">
        <w:t xml:space="preserve"> </w:t>
      </w:r>
    </w:p>
    <w:p w14:paraId="165D94BE" w14:textId="31268E00" w:rsidR="005A1226" w:rsidRPr="00176293" w:rsidRDefault="005A1226" w:rsidP="009477E0">
      <w:pPr>
        <w:autoSpaceDE w:val="0"/>
        <w:autoSpaceDN w:val="0"/>
        <w:adjustRightInd w:val="0"/>
        <w:ind w:firstLine="567"/>
        <w:jc w:val="both"/>
      </w:pPr>
      <w:r w:rsidRPr="00176293">
        <w:t>П</w:t>
      </w:r>
      <w:r w:rsidR="00DC4622" w:rsidRPr="00176293">
        <w:t>рограмм</w:t>
      </w:r>
      <w:r w:rsidRPr="00176293">
        <w:t>а</w:t>
      </w:r>
      <w:r w:rsidR="00DC4622" w:rsidRPr="00176293">
        <w:t xml:space="preserve"> </w:t>
      </w:r>
      <w:r w:rsidR="009477E0" w:rsidRPr="00176293">
        <w:t xml:space="preserve">комплексного развития транспортной инфраструктуры муниципального образования </w:t>
      </w:r>
      <w:r w:rsidR="00912085">
        <w:t>Хайрюзовский</w:t>
      </w:r>
      <w:r w:rsidR="009477E0" w:rsidRPr="00176293">
        <w:t xml:space="preserve"> сельсовет Троицкого района Алтайского края на 2017 ~ 2021 годы и с перспективой до 2033 года</w:t>
      </w:r>
    </w:p>
    <w:p w14:paraId="7F962806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534C8944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912085">
        <w:t>МОХС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r w:rsidR="00912085">
        <w:t>Хайрюзовский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912085">
        <w:t>МОХС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7CE29D0B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912085">
        <w:t>Хайрюзовский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7AFEB95C" w:rsidR="00653824" w:rsidRPr="00103A49" w:rsidRDefault="0035628D" w:rsidP="005107D8">
      <w:pPr>
        <w:ind w:left="567" w:firstLine="284"/>
        <w:jc w:val="both"/>
      </w:pPr>
      <w:r w:rsidRPr="00103A49">
        <w:lastRenderedPageBreak/>
        <w:t>–</w:t>
      </w:r>
      <w:r w:rsidR="00653824" w:rsidRPr="00103A49">
        <w:t xml:space="preserve"> в муниципальных правовых актах </w:t>
      </w:r>
      <w:r w:rsidR="00912085">
        <w:t>МОХС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8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13EE4173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912085">
        <w:t>МОХС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716A4C30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912085">
        <w:t>МОХС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14:paraId="40DB32CA" w14:textId="29D48F74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912085">
        <w:t>МОХС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643CB4D5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912085">
        <w:t>МОХС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lastRenderedPageBreak/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74FB0346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912085">
        <w:t>МОХС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</w:t>
            </w:r>
            <w:r w:rsidRPr="00103A49">
              <w:rPr>
                <w:spacing w:val="2"/>
                <w:sz w:val="22"/>
                <w:szCs w:val="22"/>
              </w:rPr>
              <w:lastRenderedPageBreak/>
              <w:t xml:space="preserve">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 xml:space="preserve"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lastRenderedPageBreak/>
              <w:t>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54BED116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912085">
              <w:rPr>
                <w:sz w:val="22"/>
                <w:szCs w:val="22"/>
              </w:rPr>
              <w:t>МОХС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2F0BE287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912085">
              <w:rPr>
                <w:sz w:val="22"/>
                <w:szCs w:val="22"/>
              </w:rPr>
              <w:t>МОХС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2EE9F8DC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912085">
              <w:rPr>
                <w:sz w:val="22"/>
                <w:szCs w:val="22"/>
              </w:rPr>
              <w:t>МОХС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5E4DD5CA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912085">
        <w:t>МОХС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489A1529" w14:textId="2AC72E06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1278363B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912085">
        <w:t>МОХС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912085">
        <w:t>МОХС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06E4D42C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912085">
        <w:t>МОХС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912085">
        <w:t>МОХС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58C93821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912085">
        <w:t>МОХС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912085">
        <w:t>МОХС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23F46CD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912085">
        <w:t>МОХС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6C06223E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912085">
        <w:t>МОХС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733A3294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912085">
        <w:t>МОХС</w:t>
      </w:r>
      <w:r w:rsidR="00A27C39" w:rsidRPr="00103A49">
        <w:rPr>
          <w:color w:val="010101"/>
        </w:rPr>
        <w:t>.</w:t>
      </w:r>
    </w:p>
    <w:p w14:paraId="47E77EA8" w14:textId="6BEC8627" w:rsidR="00653824" w:rsidRPr="00103A49" w:rsidRDefault="00E84BEF" w:rsidP="005107D8">
      <w:pPr>
        <w:ind w:firstLine="540"/>
        <w:jc w:val="both"/>
        <w:textAlignment w:val="baseline"/>
      </w:pPr>
      <w:r w:rsidRPr="00103A49">
        <w:lastRenderedPageBreak/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912085">
        <w:t>МОХС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65084B9A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912085">
        <w:t>МОХС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912085">
        <w:t>МОХС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35CEDB1B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912085">
        <w:t>МОХС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4ACDBF1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912085">
        <w:t>МОХС</w:t>
      </w:r>
      <w:r w:rsidR="00653824" w:rsidRPr="00103A49">
        <w:t xml:space="preserve"> могут применяться: </w:t>
      </w:r>
    </w:p>
    <w:p w14:paraId="6D187EED" w14:textId="0FEF925E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912085">
        <w:t>МОХС</w:t>
      </w:r>
      <w:r w:rsidR="00653824" w:rsidRPr="00103A49">
        <w:t xml:space="preserve">; </w:t>
      </w:r>
    </w:p>
    <w:p w14:paraId="5FCA3CE3" w14:textId="3C96BE70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912085">
        <w:t>МОХС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77982B79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912085">
        <w:t>МОХС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 xml:space="preserve"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</w:t>
      </w:r>
      <w:r w:rsidR="00653824" w:rsidRPr="00103A49">
        <w:lastRenderedPageBreak/>
        <w:t>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670BDA9F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912085">
        <w:t>МОХС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3CF98858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912085">
        <w:t>МОХС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4" w:name="_Toc483388324"/>
      <w:bookmarkStart w:id="45" w:name="_Hlk75440049"/>
      <w:r w:rsidRPr="00103A49">
        <w:lastRenderedPageBreak/>
        <w:t>Приложение № 1</w:t>
      </w:r>
      <w:bookmarkEnd w:id="44"/>
    </w:p>
    <w:p w14:paraId="47AE9058" w14:textId="1C177B4F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912085">
        <w:t>Хайрюзовский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14:paraId="3B104CAF" w14:textId="43FCBF63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912085">
        <w:t>Хайрюзовский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5A37A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5A37AB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5A37AB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5A37AB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1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2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5A37A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5A37A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5A37A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5A37A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5A37A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2FE4FB2D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17.10.2017 № </w:t>
      </w:r>
      <w:r w:rsidR="00286970">
        <w:rPr>
          <w:rFonts w:ascii="Times New Roman" w:hAnsi="Times New Roman" w:cs="Times New Roman"/>
          <w:sz w:val="24"/>
          <w:szCs w:val="24"/>
          <w:lang w:eastAsia="ru-RU" w:bidi="ru-RU"/>
        </w:rPr>
        <w:t>9</w:t>
      </w:r>
      <w:r w:rsidR="003520D1">
        <w:rPr>
          <w:rFonts w:ascii="Times New Roman" w:hAnsi="Times New Roman" w:cs="Times New Roman"/>
          <w:sz w:val="24"/>
          <w:szCs w:val="24"/>
          <w:lang w:eastAsia="ru-RU" w:bidi="ru-RU"/>
        </w:rPr>
        <w:t>8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r w:rsidR="00912085">
        <w:rPr>
          <w:rFonts w:ascii="Times New Roman" w:hAnsi="Times New Roman" w:cs="Times New Roman"/>
          <w:sz w:val="24"/>
          <w:szCs w:val="24"/>
          <w:lang w:eastAsia="ru-RU" w:bidi="ru-RU"/>
        </w:rPr>
        <w:t>Хайрюзовский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15.10.2018 №698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34F12044" w:rsidR="00CE632F" w:rsidRPr="00C2720F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3520D1">
        <w:rPr>
          <w:rFonts w:ascii="Times New Roman" w:hAnsi="Times New Roman" w:cs="Times New Roman"/>
          <w:sz w:val="24"/>
          <w:szCs w:val="24"/>
          <w:lang w:eastAsia="ru-RU" w:bidi="ru-RU"/>
        </w:rPr>
        <w:t>20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.0</w:t>
      </w:r>
      <w:r w:rsidR="003520D1">
        <w:rPr>
          <w:rFonts w:ascii="Times New Roman" w:hAnsi="Times New Roman" w:cs="Times New Roman"/>
          <w:sz w:val="24"/>
          <w:szCs w:val="24"/>
          <w:lang w:eastAsia="ru-RU" w:bidi="ru-RU"/>
        </w:rPr>
        <w:t>8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.20</w:t>
      </w:r>
      <w:r w:rsidR="003520D1">
        <w:rPr>
          <w:rFonts w:ascii="Times New Roman" w:hAnsi="Times New Roman" w:cs="Times New Roman"/>
          <w:sz w:val="24"/>
          <w:szCs w:val="24"/>
          <w:lang w:eastAsia="ru-RU" w:bidi="ru-RU"/>
        </w:rPr>
        <w:t>21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</w:t>
      </w:r>
      <w:r w:rsidR="003520D1">
        <w:rPr>
          <w:rFonts w:ascii="Times New Roman" w:hAnsi="Times New Roman" w:cs="Times New Roman"/>
          <w:sz w:val="24"/>
          <w:szCs w:val="24"/>
          <w:lang w:eastAsia="ru-RU" w:bidi="ru-RU"/>
        </w:rPr>
        <w:t>29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реестра мест (площадок) накопления твердых коммунальных отходов 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территории МО </w:t>
      </w:r>
      <w:r w:rsidR="00912085">
        <w:rPr>
          <w:rFonts w:ascii="Times New Roman" w:hAnsi="Times New Roman" w:cs="Times New Roman"/>
          <w:sz w:val="24"/>
          <w:szCs w:val="24"/>
          <w:lang w:eastAsia="ru-RU" w:bidi="ru-RU"/>
        </w:rPr>
        <w:t>Хайрюзовский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Троицко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го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».</w:t>
      </w:r>
    </w:p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017551B9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912085">
        <w:rPr>
          <w:b/>
        </w:rPr>
        <w:t>Хайрюзовский</w:t>
      </w:r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238F292B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912085">
        <w:t>Хайрюзовский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 xml:space="preserve">от </w:t>
      </w:r>
      <w:r w:rsidR="003520D1">
        <w:t>02</w:t>
      </w:r>
      <w:r w:rsidR="004B07EA" w:rsidRPr="00176293">
        <w:t xml:space="preserve">.11.2020  № </w:t>
      </w:r>
      <w:r w:rsidR="00C2720F">
        <w:t>4</w:t>
      </w:r>
      <w:r w:rsidR="003520D1">
        <w:t>0</w:t>
      </w:r>
      <w:r w:rsidRPr="00176293">
        <w:t>.</w:t>
      </w:r>
    </w:p>
    <w:p w14:paraId="73405263" w14:textId="4BC06A43" w:rsidR="00BD7B86" w:rsidRPr="00176293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</w:t>
      </w:r>
      <w:r w:rsidR="008124CA">
        <w:t xml:space="preserve">Троицкого районного Совета депутатов </w:t>
      </w:r>
      <w:r w:rsidR="00A85CFB" w:rsidRPr="00176293">
        <w:t>Алтайского края</w:t>
      </w:r>
      <w:r w:rsidRPr="00176293">
        <w:t xml:space="preserve"> от </w:t>
      </w:r>
      <w:r w:rsidR="003520D1">
        <w:t>19</w:t>
      </w:r>
      <w:r w:rsidRPr="00176293">
        <w:t>.</w:t>
      </w:r>
      <w:r w:rsidR="003520D1">
        <w:t>08</w:t>
      </w:r>
      <w:r w:rsidRPr="00176293">
        <w:t>.201</w:t>
      </w:r>
      <w:r w:rsidR="00C2720F">
        <w:t>5</w:t>
      </w:r>
      <w:r w:rsidRPr="00176293">
        <w:t xml:space="preserve"> № </w:t>
      </w:r>
      <w:r w:rsidR="003520D1">
        <w:t>44</w:t>
      </w:r>
      <w:r w:rsidRPr="00176293">
        <w:t xml:space="preserve"> «Об утверждении Генерального плана муниципального образования </w:t>
      </w:r>
      <w:r w:rsidR="00912085">
        <w:t>Хайрюзовский</w:t>
      </w:r>
      <w:r w:rsidR="003A149A" w:rsidRPr="00176293">
        <w:t xml:space="preserve"> </w:t>
      </w:r>
      <w:r w:rsidR="00735B63" w:rsidRPr="00176293">
        <w:t>сельсовет</w:t>
      </w:r>
      <w:r w:rsidR="003A149A" w:rsidRPr="00176293">
        <w:t xml:space="preserve"> Троицкого района</w:t>
      </w:r>
      <w:r w:rsidRPr="00176293">
        <w:t xml:space="preserve"> Алтайского края»</w:t>
      </w:r>
      <w:r w:rsidR="00D7457E" w:rsidRPr="00176293">
        <w:t>.</w:t>
      </w:r>
    </w:p>
    <w:p w14:paraId="317B987B" w14:textId="30B126A0" w:rsidR="00FF7C4E" w:rsidRPr="00176293" w:rsidRDefault="00FF7C4E" w:rsidP="00FF7C4E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</w:t>
      </w:r>
      <w:r w:rsidR="008124CA">
        <w:t xml:space="preserve">Троицкого районного Совета депутатов </w:t>
      </w:r>
      <w:bookmarkStart w:id="53" w:name="_GoBack"/>
      <w:bookmarkEnd w:id="53"/>
      <w:r w:rsidRPr="00176293">
        <w:t xml:space="preserve">Алтайского края </w:t>
      </w:r>
      <w:r w:rsidR="004B07EA" w:rsidRPr="00176293">
        <w:t>от 2</w:t>
      </w:r>
      <w:r w:rsidR="00C2720F">
        <w:t>6</w:t>
      </w:r>
      <w:r w:rsidR="004B07EA" w:rsidRPr="00176293">
        <w:t>.</w:t>
      </w:r>
      <w:r w:rsidR="00C2720F">
        <w:t>02</w:t>
      </w:r>
      <w:r w:rsidR="004B07EA" w:rsidRPr="00176293">
        <w:t>.201</w:t>
      </w:r>
      <w:r w:rsidR="00C2720F">
        <w:t>6</w:t>
      </w:r>
      <w:r w:rsidR="004B07EA" w:rsidRPr="00176293">
        <w:t xml:space="preserve"> года № </w:t>
      </w:r>
      <w:r w:rsidR="003520D1">
        <w:t>10</w:t>
      </w:r>
      <w:r w:rsidR="004B07EA" w:rsidRPr="00176293">
        <w:t xml:space="preserve"> </w:t>
      </w:r>
      <w:r w:rsidRPr="00176293">
        <w:t xml:space="preserve">«Об утверждении Правил землепользования и застройки муниципального образования </w:t>
      </w:r>
      <w:r w:rsidR="00912085">
        <w:t>Хайрюзовский</w:t>
      </w:r>
      <w:r w:rsidRPr="00176293">
        <w:t xml:space="preserve"> сельсовет Троицкого района Алтайского края» (ред. </w:t>
      </w:r>
      <w:r w:rsidR="00C2720F">
        <w:t>11</w:t>
      </w:r>
      <w:r w:rsidRPr="00176293">
        <w:t>.</w:t>
      </w:r>
      <w:r w:rsidR="00C2720F">
        <w:t>06</w:t>
      </w:r>
      <w:r w:rsidRPr="00176293">
        <w:t>.202</w:t>
      </w:r>
      <w:r w:rsidR="00C2720F">
        <w:t>1</w:t>
      </w:r>
      <w:r w:rsidRPr="00176293">
        <w:t>).</w:t>
      </w:r>
    </w:p>
    <w:p w14:paraId="05A59CCD" w14:textId="54E6B4DA" w:rsidR="00BD7B86" w:rsidRPr="00176293" w:rsidRDefault="00A85CFB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Троицкого </w:t>
      </w:r>
      <w:r w:rsidR="00FF7C4E" w:rsidRPr="00176293">
        <w:t>сель</w:t>
      </w:r>
      <w:proofErr w:type="gramStart"/>
      <w:r w:rsidR="00FF7C4E" w:rsidRPr="00176293">
        <w:rPr>
          <w:lang w:val="en-US"/>
        </w:rPr>
        <w:t>c</w:t>
      </w:r>
      <w:proofErr w:type="gramEnd"/>
      <w:r w:rsidR="00FF7C4E" w:rsidRPr="00176293">
        <w:t>кого</w:t>
      </w:r>
      <w:r w:rsidRPr="00176293">
        <w:t xml:space="preserve"> Совета народных депутатов Троицкого района Алтайского края от </w:t>
      </w:r>
      <w:r w:rsidR="003520D1">
        <w:t>23</w:t>
      </w:r>
      <w:r w:rsidRPr="00176293">
        <w:t>.0</w:t>
      </w:r>
      <w:r w:rsidR="003520D1">
        <w:t>5</w:t>
      </w:r>
      <w:r w:rsidRPr="00176293">
        <w:t>.201</w:t>
      </w:r>
      <w:r w:rsidR="00C2720F">
        <w:t>3</w:t>
      </w:r>
      <w:r w:rsidRPr="00176293">
        <w:t xml:space="preserve"> № </w:t>
      </w:r>
      <w:r w:rsidR="00C2720F">
        <w:t>8</w:t>
      </w:r>
      <w:r w:rsidR="003520D1">
        <w:t>1</w:t>
      </w:r>
      <w:r w:rsidRPr="00176293">
        <w:t xml:space="preserve"> </w:t>
      </w:r>
      <w:r w:rsidR="00BD7B86" w:rsidRPr="00176293">
        <w:t xml:space="preserve">«Об утверждении Правил благоустройства </w:t>
      </w:r>
      <w:r w:rsidR="00BD7B86" w:rsidRPr="00176293">
        <w:lastRenderedPageBreak/>
        <w:t xml:space="preserve">территории муниципального образования </w:t>
      </w:r>
      <w:r w:rsidR="00912085">
        <w:t>Хайрюзовский</w:t>
      </w:r>
      <w:r w:rsidR="00D7457E" w:rsidRPr="00176293">
        <w:t xml:space="preserve"> сельсовет Троицкого района </w:t>
      </w:r>
      <w:r w:rsidR="00BD7B86" w:rsidRPr="00176293">
        <w:t>Алтайского края».</w:t>
      </w:r>
    </w:p>
    <w:p w14:paraId="3559977E" w14:textId="539795A7" w:rsidR="00BD7B86" w:rsidRPr="00176293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</w:t>
      </w:r>
      <w:r w:rsidR="00912085">
        <w:t>Хайрюзовского</w:t>
      </w:r>
      <w:r w:rsidRPr="00176293">
        <w:t xml:space="preserve"> </w:t>
      </w:r>
      <w:r w:rsidR="00735B63" w:rsidRPr="00176293">
        <w:t>сельсовет</w:t>
      </w:r>
      <w:r w:rsidRPr="00176293">
        <w:t xml:space="preserve">а </w:t>
      </w:r>
      <w:r w:rsidR="00735B63" w:rsidRPr="00176293">
        <w:t>Троицк</w:t>
      </w:r>
      <w:r w:rsidRPr="00176293">
        <w:t xml:space="preserve">ого района Алтайского края от </w:t>
      </w:r>
      <w:r w:rsidR="00B4088C">
        <w:t>13</w:t>
      </w:r>
      <w:r w:rsidRPr="00176293">
        <w:t>.</w:t>
      </w:r>
      <w:r w:rsidR="00B4088C">
        <w:t>11</w:t>
      </w:r>
      <w:r w:rsidRPr="00176293">
        <w:t xml:space="preserve">.2017 № </w:t>
      </w:r>
      <w:r w:rsidR="00B4088C">
        <w:t>68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>Об утверждении муниципальной программы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 xml:space="preserve">муниципального образования </w:t>
      </w:r>
      <w:r w:rsidR="00912085">
        <w:rPr>
          <w:rStyle w:val="fontstyle01"/>
          <w:color w:val="auto"/>
        </w:rPr>
        <w:t>Хайрюзовский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</w:t>
      </w:r>
      <w:r w:rsidR="00B4088C">
        <w:rPr>
          <w:rStyle w:val="fontstyle01"/>
          <w:color w:val="auto"/>
        </w:rPr>
        <w:t xml:space="preserve"> </w:t>
      </w:r>
      <w:r w:rsidR="00BD618F" w:rsidRPr="00176293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 w:rsidR="00B4088C">
        <w:rPr>
          <w:rStyle w:val="fontstyle01"/>
          <w:color w:val="auto"/>
        </w:rPr>
        <w:t xml:space="preserve"> </w:t>
      </w:r>
      <w:r w:rsidR="00912085">
        <w:rPr>
          <w:rStyle w:val="fontstyle01"/>
          <w:color w:val="auto"/>
        </w:rPr>
        <w:t>Хайрюзовский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 на 2017-203</w:t>
      </w:r>
      <w:r w:rsidR="00C2720F">
        <w:rPr>
          <w:rStyle w:val="fontstyle01"/>
          <w:color w:val="auto"/>
        </w:rPr>
        <w:t>4</w:t>
      </w:r>
      <w:r w:rsidR="00BD618F" w:rsidRPr="00176293">
        <w:rPr>
          <w:rStyle w:val="fontstyle01"/>
          <w:color w:val="auto"/>
        </w:rPr>
        <w:t xml:space="preserve"> </w:t>
      </w:r>
      <w:proofErr w:type="spellStart"/>
      <w:r w:rsidR="00BD618F" w:rsidRPr="00176293">
        <w:rPr>
          <w:rStyle w:val="fontstyle01"/>
          <w:color w:val="auto"/>
        </w:rPr>
        <w:t>г.</w:t>
      </w:r>
      <w:proofErr w:type="gramStart"/>
      <w:r w:rsidR="00BD618F" w:rsidRPr="00176293">
        <w:rPr>
          <w:rStyle w:val="fontstyle01"/>
          <w:color w:val="auto"/>
        </w:rPr>
        <w:t>г</w:t>
      </w:r>
      <w:proofErr w:type="spellEnd"/>
      <w:proofErr w:type="gramEnd"/>
      <w:r w:rsidR="00BD618F" w:rsidRPr="00176293">
        <w:rPr>
          <w:rStyle w:val="fontstyle01"/>
          <w:color w:val="auto"/>
        </w:rPr>
        <w:t>.»</w:t>
      </w:r>
      <w:r w:rsidR="00450836" w:rsidRPr="00176293">
        <w:t>»</w:t>
      </w:r>
      <w:r w:rsidR="00693974" w:rsidRPr="00176293">
        <w:t>.</w:t>
      </w:r>
    </w:p>
    <w:p w14:paraId="4F578186" w14:textId="226D1D89" w:rsidR="00987A8D" w:rsidRPr="00176293" w:rsidRDefault="00987A8D" w:rsidP="00987A8D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</w:t>
      </w:r>
      <w:r w:rsidR="00912085">
        <w:t>Хайрюзовского</w:t>
      </w:r>
      <w:r w:rsidRPr="00176293">
        <w:t xml:space="preserve"> сельсовета Троицкого района Алтайского края от </w:t>
      </w:r>
      <w:r w:rsidR="00B4088C">
        <w:t>21</w:t>
      </w:r>
      <w:r w:rsidRPr="00176293">
        <w:t>.</w:t>
      </w:r>
      <w:r w:rsidR="00C2720F">
        <w:t>1</w:t>
      </w:r>
      <w:r w:rsidR="00B4088C">
        <w:t>2</w:t>
      </w:r>
      <w:r w:rsidRPr="00176293">
        <w:t xml:space="preserve">.2017 № </w:t>
      </w:r>
      <w:r w:rsidR="00B4088C">
        <w:t>80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 xml:space="preserve">Об утверждении муниципальной программы муниципального образования </w:t>
      </w:r>
      <w:r w:rsidR="00912085">
        <w:rPr>
          <w:rStyle w:val="fontstyle01"/>
          <w:color w:val="auto"/>
        </w:rPr>
        <w:t>Хайрюзовский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</w:t>
      </w:r>
      <w:r w:rsidR="00B4088C">
        <w:rPr>
          <w:rStyle w:val="fontstyle01"/>
          <w:color w:val="auto"/>
        </w:rPr>
        <w:t xml:space="preserve"> </w:t>
      </w:r>
      <w:r w:rsidR="00BD618F" w:rsidRPr="00176293">
        <w:rPr>
          <w:rStyle w:val="fontstyle01"/>
          <w:color w:val="auto"/>
        </w:rPr>
        <w:t xml:space="preserve">«Комплексное развитие систем коммунальной инфраструктуры МО </w:t>
      </w:r>
      <w:r w:rsidR="00912085">
        <w:rPr>
          <w:rStyle w:val="fontstyle01"/>
          <w:color w:val="auto"/>
        </w:rPr>
        <w:t>Хайрюзовский</w:t>
      </w:r>
      <w:r w:rsidR="00BD618F" w:rsidRPr="00176293">
        <w:rPr>
          <w:rStyle w:val="fontstyle01"/>
          <w:color w:val="auto"/>
        </w:rPr>
        <w:t xml:space="preserve"> сельсовет на 2017-2033 </w:t>
      </w:r>
      <w:proofErr w:type="spellStart"/>
      <w:r w:rsidR="00BD618F" w:rsidRPr="00176293">
        <w:rPr>
          <w:rStyle w:val="fontstyle01"/>
          <w:color w:val="auto"/>
        </w:rPr>
        <w:t>г.г</w:t>
      </w:r>
      <w:proofErr w:type="spellEnd"/>
      <w:r w:rsidR="00BD618F" w:rsidRPr="00176293">
        <w:rPr>
          <w:rStyle w:val="fontstyle01"/>
          <w:color w:val="auto"/>
        </w:rPr>
        <w:t>.»</w:t>
      </w:r>
      <w:r w:rsidRPr="00176293">
        <w:t>.</w:t>
      </w:r>
    </w:p>
    <w:p w14:paraId="4DB246A3" w14:textId="4917AF0C" w:rsidR="00693974" w:rsidRPr="00C2720F" w:rsidRDefault="00693974" w:rsidP="00693974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Троицкого сельсовета Троицкого района Алтайского края от </w:t>
      </w:r>
      <w:r w:rsidR="00B4088C">
        <w:t>20</w:t>
      </w:r>
      <w:r w:rsidRPr="00176293">
        <w:t>.</w:t>
      </w:r>
      <w:r w:rsidR="00C2720F">
        <w:t>1</w:t>
      </w:r>
      <w:r w:rsidR="00B4088C">
        <w:t>2</w:t>
      </w:r>
      <w:r w:rsidRPr="00176293">
        <w:t xml:space="preserve">.2017 № </w:t>
      </w:r>
      <w:r w:rsidR="00B4088C">
        <w:t>81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 xml:space="preserve">Об утверждении программы муниципального образования </w:t>
      </w:r>
      <w:r w:rsidR="00912085">
        <w:rPr>
          <w:rStyle w:val="fontstyle01"/>
          <w:color w:val="auto"/>
        </w:rPr>
        <w:t>Хайрюзовский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</w:t>
      </w:r>
      <w:r w:rsidR="00D93D2F">
        <w:rPr>
          <w:rStyle w:val="fontstyle01"/>
          <w:color w:val="auto"/>
        </w:rPr>
        <w:t xml:space="preserve"> </w:t>
      </w:r>
      <w:r w:rsidR="00C2720F" w:rsidRPr="00C2720F">
        <w:rPr>
          <w:rFonts w:ascii="TimesNewRomanPS-BoldMT" w:hAnsi="TimesNewRomanPS-BoldMT"/>
          <w:bCs/>
          <w:color w:val="000000"/>
        </w:rPr>
        <w:t>«Комплексное развитие транспортной инфраструктуры</w:t>
      </w:r>
      <w:r w:rsidR="00C2720F">
        <w:rPr>
          <w:rFonts w:ascii="TimesNewRomanPS-BoldMT" w:hAnsi="TimesNewRomanPS-BoldMT"/>
          <w:bCs/>
          <w:color w:val="000000"/>
        </w:rPr>
        <w:t xml:space="preserve"> </w:t>
      </w:r>
      <w:r w:rsidR="00C2720F" w:rsidRPr="00C2720F">
        <w:rPr>
          <w:rFonts w:ascii="TimesNewRomanPS-BoldMT" w:hAnsi="TimesNewRomanPS-BoldMT"/>
          <w:bCs/>
          <w:color w:val="000000"/>
        </w:rPr>
        <w:t xml:space="preserve">муниципального образования </w:t>
      </w:r>
      <w:r w:rsidR="00912085">
        <w:rPr>
          <w:rFonts w:ascii="TimesNewRomanPS-BoldMT" w:hAnsi="TimesNewRomanPS-BoldMT"/>
          <w:bCs/>
          <w:color w:val="000000"/>
        </w:rPr>
        <w:t>Хайрюзовский</w:t>
      </w:r>
      <w:r w:rsidR="00C2720F" w:rsidRPr="00C2720F">
        <w:rPr>
          <w:rFonts w:ascii="TimesNewRomanPS-BoldMT" w:hAnsi="TimesNewRomanPS-BoldMT"/>
          <w:bCs/>
          <w:color w:val="000000"/>
        </w:rPr>
        <w:t xml:space="preserve"> сельсовет Троицкого района Алтайского</w:t>
      </w:r>
      <w:r w:rsidR="00C2720F">
        <w:rPr>
          <w:rFonts w:ascii="TimesNewRomanPS-BoldMT" w:hAnsi="TimesNewRomanPS-BoldMT"/>
          <w:bCs/>
          <w:color w:val="000000"/>
        </w:rPr>
        <w:t xml:space="preserve"> </w:t>
      </w:r>
      <w:r w:rsidR="00C2720F" w:rsidRPr="00C2720F">
        <w:rPr>
          <w:rFonts w:ascii="TimesNewRomanPS-BoldMT" w:hAnsi="TimesNewRomanPS-BoldMT"/>
          <w:bCs/>
          <w:color w:val="000000"/>
        </w:rPr>
        <w:t xml:space="preserve">края на 2017 –2021 </w:t>
      </w:r>
      <w:proofErr w:type="spellStart"/>
      <w:r w:rsidR="00C2720F" w:rsidRPr="00C2720F">
        <w:rPr>
          <w:rFonts w:ascii="TimesNewRomanPS-BoldMT" w:hAnsi="TimesNewRomanPS-BoldMT"/>
          <w:bCs/>
          <w:color w:val="000000"/>
        </w:rPr>
        <w:t>г.г</w:t>
      </w:r>
      <w:proofErr w:type="spellEnd"/>
      <w:r w:rsidR="00C2720F" w:rsidRPr="00C2720F">
        <w:rPr>
          <w:rFonts w:ascii="TimesNewRomanPS-BoldMT" w:hAnsi="TimesNewRomanPS-BoldMT"/>
          <w:bCs/>
          <w:color w:val="000000"/>
        </w:rPr>
        <w:t>. и с перспективой до 2033 года»</w:t>
      </w:r>
    </w:p>
    <w:p w14:paraId="4A089386" w14:textId="77777777" w:rsidR="003D079A" w:rsidRPr="00176293" w:rsidRDefault="003D079A" w:rsidP="003D079A">
      <w:pPr>
        <w:pStyle w:val="af1"/>
        <w:ind w:left="284"/>
        <w:jc w:val="both"/>
      </w:pP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4" w:name="_Hlk98585213"/>
      <w:r w:rsidRPr="00176293">
        <w:rPr>
          <w:color w:val="auto"/>
        </w:rPr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4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76293">
        <w:t>–</w:t>
      </w:r>
      <w:bookmarkEnd w:id="56"/>
      <w:bookmarkEnd w:id="57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5A37AB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0FDDDE5B" w:rsidR="00711A5D" w:rsidRPr="00176293" w:rsidRDefault="00484BEE" w:rsidP="004B07EA">
      <w:pPr>
        <w:pStyle w:val="af1"/>
        <w:numPr>
          <w:ilvl w:val="0"/>
          <w:numId w:val="6"/>
        </w:numPr>
        <w:jc w:val="both"/>
      </w:pPr>
      <w:r w:rsidRPr="00176293">
        <w:t xml:space="preserve">Официальный сайт администрации </w:t>
      </w:r>
      <w:r w:rsidR="00912085">
        <w:t>Хайрюзовский</w:t>
      </w:r>
      <w:r w:rsidR="00F8196F" w:rsidRPr="00176293">
        <w:t xml:space="preserve">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Pr="00176293">
        <w:t xml:space="preserve"> </w:t>
      </w:r>
      <w:r w:rsidR="00F8196F" w:rsidRPr="00176293">
        <w:t xml:space="preserve">– </w:t>
      </w:r>
      <w:hyperlink r:id="rId45" w:history="1">
        <w:r w:rsidR="00C2720F">
          <w:rPr>
            <w:rStyle w:val="ab"/>
          </w:rPr>
          <w:t>http://</w:t>
        </w:r>
        <w:r w:rsidR="00912085">
          <w:rPr>
            <w:rStyle w:val="ab"/>
          </w:rPr>
          <w:t>Хайрюзовский</w:t>
        </w:r>
        <w:r w:rsidR="00C2720F">
          <w:rPr>
            <w:rStyle w:val="ab"/>
          </w:rPr>
          <w:t>-адм.рф/</w:t>
        </w:r>
      </w:hyperlink>
    </w:p>
    <w:p w14:paraId="7E7013E7" w14:textId="0D6AA967" w:rsidR="00711A5D" w:rsidRPr="00103A49" w:rsidRDefault="00711A5D">
      <w:pPr>
        <w:spacing w:after="200" w:line="276" w:lineRule="auto"/>
      </w:pPr>
    </w:p>
    <w:sectPr w:rsidR="00711A5D" w:rsidRPr="00103A49" w:rsidSect="00707BBA">
      <w:footerReference w:type="default" r:id="rId46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E3504" w14:textId="77777777" w:rsidR="005A37AB" w:rsidRDefault="005A37AB" w:rsidP="004454F1">
      <w:r>
        <w:separator/>
      </w:r>
    </w:p>
  </w:endnote>
  <w:endnote w:type="continuationSeparator" w:id="0">
    <w:p w14:paraId="4DADDC9E" w14:textId="77777777" w:rsidR="005A37AB" w:rsidRDefault="005A37AB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3520D1" w:rsidRDefault="003520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CA">
          <w:rPr>
            <w:noProof/>
          </w:rPr>
          <w:t>36</w:t>
        </w:r>
        <w:r>
          <w:fldChar w:fldCharType="end"/>
        </w:r>
      </w:p>
    </w:sdtContent>
  </w:sdt>
  <w:p w14:paraId="323BD9F2" w14:textId="77777777" w:rsidR="003520D1" w:rsidRDefault="003520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6CF2" w14:textId="77777777" w:rsidR="005A37AB" w:rsidRDefault="005A37AB" w:rsidP="004454F1">
      <w:r>
        <w:separator/>
      </w:r>
    </w:p>
  </w:footnote>
  <w:footnote w:type="continuationSeparator" w:id="0">
    <w:p w14:paraId="4135DDF7" w14:textId="77777777" w:rsidR="005A37AB" w:rsidRDefault="005A37AB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B3C77A6"/>
    <w:multiLevelType w:val="hybridMultilevel"/>
    <w:tmpl w:val="FC12E2B8"/>
    <w:lvl w:ilvl="0" w:tplc="1FF66B2E">
      <w:numFmt w:val="none"/>
      <w:lvlText w:val="−"/>
      <w:lvlJc w:val="left"/>
      <w:pPr>
        <w:ind w:left="72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7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0374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86970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0FA1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0D1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37AB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45F0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0A3D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1FE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0916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29AA"/>
    <w:rsid w:val="006C4842"/>
    <w:rsid w:val="006C755F"/>
    <w:rsid w:val="006D5BF5"/>
    <w:rsid w:val="006D6657"/>
    <w:rsid w:val="006D6D18"/>
    <w:rsid w:val="006D782B"/>
    <w:rsid w:val="006E012C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24CA"/>
    <w:rsid w:val="00813C81"/>
    <w:rsid w:val="00814010"/>
    <w:rsid w:val="00815557"/>
    <w:rsid w:val="00816029"/>
    <w:rsid w:val="008205A1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085"/>
    <w:rsid w:val="00912A5A"/>
    <w:rsid w:val="009136ED"/>
    <w:rsid w:val="00920332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40B9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906"/>
    <w:rsid w:val="00AC1A22"/>
    <w:rsid w:val="00AC1BA4"/>
    <w:rsid w:val="00AC22DF"/>
    <w:rsid w:val="00AC3F8E"/>
    <w:rsid w:val="00AC46DA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88C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2720F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77201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D6685"/>
    <w:rsid w:val="00DE09C1"/>
    <w:rsid w:val="00DE2B26"/>
    <w:rsid w:val="00DE31FD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hyperlink" Target="http://&#1079;&#1072;&#1074;&#1086;&#1076;&#1089;&#1082;&#1086;&#1081;-&#1072;&#1076;&#1084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3524-429D-40AC-AED7-C412ECE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38</Pages>
  <Words>15364</Words>
  <Characters>87580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9</cp:revision>
  <cp:lastPrinted>2016-07-29T12:41:00Z</cp:lastPrinted>
  <dcterms:created xsi:type="dcterms:W3CDTF">2022-04-27T07:27:00Z</dcterms:created>
  <dcterms:modified xsi:type="dcterms:W3CDTF">2022-04-27T08:29:00Z</dcterms:modified>
</cp:coreProperties>
</file>